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GESTIONE FINANZIARIA E DI CONTABILITA'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Parere sugli atti con finanziamenti in conto capitale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Mediass s.p.a. Piazza Ettore Troilo, 12 65127 Pescara (PE) - tel. 085 4511194</w:t>
            </w:r>
          </w:p>
          <w:p>
            <w:pPr>
              <w:jc w:val="both"/>
            </w:pPr>
            <w:r>
              <w:rPr>
                <w:sz w:val="22"/>
                <w:szCs w:val="22"/>
              </w:rPr>
              <w:t xml:space="preserve">Banca di Credito Cooperativo di Roma Via Sardegna 129 - 00187 - Roma - tel. 06 52863000 - bccroma@actaliscertymail.it</w:t>
            </w:r>
          </w:p>
          <w:p>
            <w:pPr>
              <w:jc w:val="both"/>
            </w:pPr>
            <w:r>
              <w:rPr>
                <w:sz w:val="22"/>
                <w:szCs w:val="22"/>
              </w:rPr>
              <w:t xml:space="preserve">Dott.ssa Stecconi Patrizia PEC: patriziastecconi@pec.it - Tel. 389 5122579</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Affidatario del servizio assicurativo Lloyd Assicura Indirizzo: Via XI Febbraio, 6 - 33052 Cervignano del Friuli (UD) - Tel. 043133861 - cervignano2@ageallianz.it - info@lloydassicura.it - lloydassicura@pec.it</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Parere sugli atti con finanziamenti in conto capitale.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